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after="240" w:line="360" w:lineRule="atLeast"/>
        <w:jc w:val="center"/>
        <w:rPr>
          <w:rFonts w:ascii="Times" w:cs="Times" w:hAnsi="Times" w:eastAsia="Times"/>
          <w:sz w:val="32"/>
          <w:szCs w:val="32"/>
          <w:u w:val="single"/>
        </w:rPr>
      </w:pPr>
      <w:r>
        <w:rPr>
          <w:rFonts w:ascii="Times" w:hAnsi="Times" w:hint="default"/>
          <w:sz w:val="32"/>
          <w:szCs w:val="32"/>
          <w:u w:val="single"/>
          <w:rtl w:val="0"/>
          <w:lang w:val="ru-RU"/>
        </w:rPr>
        <w:t xml:space="preserve">ООО </w:t>
      </w:r>
      <w:r>
        <w:rPr>
          <w:rFonts w:ascii="Times" w:hAnsi="Times" w:hint="default"/>
          <w:sz w:val="32"/>
          <w:szCs w:val="32"/>
          <w:u w:val="single"/>
          <w:rtl w:val="0"/>
          <w:lang w:val="en-US"/>
        </w:rPr>
        <w:t>«</w:t>
      </w:r>
      <w:r>
        <w:rPr>
          <w:rFonts w:ascii="Times" w:hAnsi="Times" w:hint="default"/>
          <w:sz w:val="32"/>
          <w:szCs w:val="32"/>
          <w:u w:val="single"/>
          <w:rtl w:val="0"/>
          <w:lang w:val="en-US"/>
        </w:rPr>
        <w:t>ТМ АВАР</w:t>
      </w:r>
      <w:r>
        <w:rPr>
          <w:rFonts w:ascii="Times" w:hAnsi="Times" w:hint="default"/>
          <w:sz w:val="32"/>
          <w:szCs w:val="32"/>
          <w:u w:val="single"/>
          <w:rtl w:val="0"/>
          <w:lang w:val="en-US"/>
        </w:rPr>
        <w:t>»</w:t>
      </w: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48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 xml:space="preserve">Полное наименование фирмы </w:t>
            </w:r>
          </w:p>
        </w:tc>
        <w:tc>
          <w:tcPr>
            <w:tcW w:type="dxa" w:w="48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Общество с ограниченной ответственностью «</w:t>
            </w:r>
            <w:r>
              <w:rPr>
                <w:sz w:val="28"/>
                <w:szCs w:val="28"/>
                <w:rtl w:val="0"/>
                <w:lang w:val="ru-RU"/>
              </w:rPr>
              <w:t>ТМ АВАР</w:t>
            </w:r>
            <w:r>
              <w:rPr>
                <w:sz w:val="28"/>
                <w:szCs w:val="28"/>
                <w:rtl w:val="0"/>
                <w:lang w:val="en-US"/>
              </w:rPr>
              <w:t>»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Сокращенное наименование фирмы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ООО «</w:t>
            </w:r>
            <w:r>
              <w:rPr>
                <w:sz w:val="28"/>
                <w:szCs w:val="28"/>
                <w:rtl w:val="0"/>
                <w:lang w:val="en-US"/>
              </w:rPr>
              <w:t xml:space="preserve">TM </w:t>
            </w:r>
            <w:r>
              <w:rPr>
                <w:sz w:val="28"/>
                <w:szCs w:val="28"/>
                <w:rtl w:val="0"/>
                <w:lang w:val="ru-RU"/>
              </w:rPr>
              <w:t>АВАР</w:t>
            </w:r>
            <w:r>
              <w:rPr>
                <w:sz w:val="28"/>
                <w:szCs w:val="28"/>
                <w:rtl w:val="0"/>
                <w:lang w:val="en-US"/>
              </w:rPr>
              <w:t xml:space="preserve">» </w:t>
            </w:r>
          </w:p>
        </w:tc>
      </w:tr>
      <w:tr>
        <w:tblPrEx>
          <w:shd w:val="clear" w:color="auto" w:fill="ceddeb"/>
        </w:tblPrEx>
        <w:trPr>
          <w:trHeight w:val="1273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Юридический адрес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</w:rPr>
              <w:t xml:space="preserve">143987, </w:t>
            </w:r>
            <w:r>
              <w:rPr>
                <w:sz w:val="28"/>
                <w:szCs w:val="28"/>
                <w:rtl w:val="0"/>
                <w:lang w:val="ru-RU"/>
              </w:rPr>
              <w:t>Московская область</w:t>
            </w:r>
            <w:r>
              <w:rPr>
                <w:sz w:val="28"/>
                <w:szCs w:val="28"/>
                <w:rtl w:val="0"/>
              </w:rPr>
              <w:t xml:space="preserve">, </w:t>
            </w:r>
            <w:r>
              <w:rPr>
                <w:sz w:val="28"/>
                <w:szCs w:val="28"/>
                <w:rtl w:val="0"/>
              </w:rPr>
              <w:t>г</w:t>
            </w:r>
            <w:r>
              <w:rPr>
                <w:sz w:val="28"/>
                <w:szCs w:val="28"/>
                <w:rtl w:val="0"/>
              </w:rPr>
              <w:t xml:space="preserve">. </w:t>
            </w:r>
            <w:r>
              <w:rPr>
                <w:sz w:val="28"/>
                <w:szCs w:val="28"/>
                <w:rtl w:val="0"/>
              </w:rPr>
              <w:t>Балашиха</w:t>
            </w:r>
            <w:r>
              <w:rPr>
                <w:sz w:val="28"/>
                <w:szCs w:val="28"/>
                <w:rtl w:val="0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микроройон Железнодорожный</w:t>
            </w:r>
            <w:r>
              <w:rPr>
                <w:sz w:val="28"/>
                <w:szCs w:val="28"/>
                <w:rtl w:val="0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ул</w:t>
            </w:r>
            <w:r>
              <w:rPr>
                <w:sz w:val="28"/>
                <w:szCs w:val="28"/>
                <w:rtl w:val="0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Советская</w:t>
            </w:r>
            <w:r>
              <w:rPr>
                <w:sz w:val="28"/>
                <w:szCs w:val="28"/>
                <w:rtl w:val="0"/>
              </w:rPr>
              <w:t xml:space="preserve">, </w:t>
            </w:r>
            <w:r>
              <w:rPr>
                <w:sz w:val="28"/>
                <w:szCs w:val="28"/>
                <w:rtl w:val="0"/>
              </w:rPr>
              <w:t>д</w:t>
            </w:r>
            <w:r>
              <w:rPr>
                <w:sz w:val="28"/>
                <w:szCs w:val="28"/>
                <w:rtl w:val="0"/>
              </w:rPr>
              <w:t xml:space="preserve">. 40, 1 </w:t>
            </w:r>
            <w:r>
              <w:rPr>
                <w:sz w:val="28"/>
                <w:szCs w:val="28"/>
                <w:rtl w:val="0"/>
                <w:lang w:val="ru-RU"/>
              </w:rPr>
              <w:t>эт</w:t>
            </w:r>
            <w:r>
              <w:rPr>
                <w:sz w:val="28"/>
                <w:szCs w:val="28"/>
                <w:rtl w:val="0"/>
              </w:rPr>
              <w:t xml:space="preserve">, </w:t>
            </w:r>
            <w:r>
              <w:rPr>
                <w:sz w:val="28"/>
                <w:szCs w:val="28"/>
                <w:rtl w:val="0"/>
              </w:rPr>
              <w:t xml:space="preserve">ЛИТЕРА А Помещение </w:t>
            </w:r>
            <w:r>
              <w:rPr>
                <w:sz w:val="28"/>
                <w:szCs w:val="28"/>
                <w:rtl w:val="0"/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96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Фактический и почтовый адрес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 xml:space="preserve">143985, </w:t>
            </w:r>
            <w:r>
              <w:rPr>
                <w:sz w:val="28"/>
                <w:szCs w:val="28"/>
                <w:rtl w:val="0"/>
                <w:lang w:val="en-US"/>
              </w:rPr>
              <w:t>Московская обл</w:t>
            </w:r>
            <w:r>
              <w:rPr>
                <w:sz w:val="28"/>
                <w:szCs w:val="28"/>
                <w:rtl w:val="0"/>
                <w:lang w:val="en-US"/>
              </w:rPr>
              <w:t xml:space="preserve">., </w:t>
            </w:r>
            <w:r>
              <w:rPr>
                <w:sz w:val="28"/>
                <w:szCs w:val="28"/>
                <w:rtl w:val="0"/>
                <w:lang w:val="en-US"/>
              </w:rPr>
              <w:t>Балашихинский р</w:t>
            </w:r>
            <w:r>
              <w:rPr>
                <w:sz w:val="28"/>
                <w:szCs w:val="28"/>
                <w:rtl w:val="0"/>
                <w:lang w:val="en-US"/>
              </w:rPr>
              <w:t>-</w:t>
            </w:r>
            <w:r>
              <w:rPr>
                <w:sz w:val="28"/>
                <w:szCs w:val="28"/>
                <w:rtl w:val="0"/>
                <w:lang w:val="en-US"/>
              </w:rPr>
              <w:t>н</w:t>
            </w:r>
            <w:r>
              <w:rPr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rtl w:val="0"/>
                <w:lang w:val="en-US"/>
              </w:rPr>
              <w:t>д</w:t>
            </w:r>
            <w:r>
              <w:rPr>
                <w:sz w:val="28"/>
                <w:szCs w:val="28"/>
                <w:rtl w:val="0"/>
                <w:lang w:val="en-US"/>
              </w:rPr>
              <w:t xml:space="preserve">. </w:t>
            </w:r>
            <w:r>
              <w:rPr>
                <w:sz w:val="28"/>
                <w:szCs w:val="28"/>
                <w:rtl w:val="0"/>
                <w:lang w:val="en-US"/>
              </w:rPr>
              <w:t>Соболиха</w:t>
            </w:r>
            <w:r>
              <w:rPr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rtl w:val="0"/>
                <w:lang w:val="en-US"/>
              </w:rPr>
              <w:t>ул</w:t>
            </w:r>
            <w:r>
              <w:rPr>
                <w:sz w:val="28"/>
                <w:szCs w:val="28"/>
                <w:rtl w:val="0"/>
                <w:lang w:val="en-US"/>
              </w:rPr>
              <w:t xml:space="preserve">. </w:t>
            </w:r>
            <w:r>
              <w:rPr>
                <w:sz w:val="28"/>
                <w:szCs w:val="28"/>
                <w:rtl w:val="0"/>
                <w:lang w:val="en-US"/>
              </w:rPr>
              <w:t>Новослободская</w:t>
            </w:r>
            <w:r>
              <w:rPr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rtl w:val="0"/>
                <w:lang w:val="en-US"/>
              </w:rPr>
              <w:t>стр</w:t>
            </w:r>
            <w:r>
              <w:rPr>
                <w:sz w:val="28"/>
                <w:szCs w:val="28"/>
                <w:rtl w:val="0"/>
                <w:lang w:val="en-US"/>
              </w:rPr>
              <w:t>. 17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 xml:space="preserve">ОГРН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 xml:space="preserve">1135012003422 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 xml:space="preserve">ИНН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5012079340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КПП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501201001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ОКАТО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46424000000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ОКПО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48810211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Код ОКВЭД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15.8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Телефон фирмы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>8(499)350-11-95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sz w:val="28"/>
                <w:szCs w:val="28"/>
                <w:rtl w:val="0"/>
                <w:lang w:val="en-US"/>
              </w:rPr>
              <w:t xml:space="preserve">E-mail </w:t>
            </w:r>
            <w:r>
              <w:rPr>
                <w:sz w:val="28"/>
                <w:szCs w:val="28"/>
                <w:rtl w:val="0"/>
                <w:lang w:val="en-US"/>
              </w:rPr>
              <w:t>фирмы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after="240" w:line="360" w:lineRule="atLeast"/>
            </w:pP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lang w:val="en-US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lang w:val="en-US"/>
              </w:rPr>
              <w:instrText xml:space="preserve"> HYPERLINK "mailto:info@avar-tea.ru"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u w:val="single"/>
                <w:lang w:val="en-US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u w:val="single"/>
                <w:rtl w:val="0"/>
                <w:lang w:val="en-US"/>
              </w:rPr>
              <w:t>info@avar-tea.ru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Сайт фирмы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after="240" w:line="360" w:lineRule="atLeast"/>
            </w:pPr>
            <w:r>
              <w:rPr>
                <w:rStyle w:val="Hyperlink.1"/>
                <w:rFonts w:ascii="Times New Roman" w:cs="Times New Roman" w:hAnsi="Times New Roman" w:eastAsia="Times New Roman"/>
                <w:color w:val="0432ff"/>
                <w:sz w:val="28"/>
                <w:szCs w:val="28"/>
                <w:u w:val="single" w:color="0432ff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432ff"/>
                <w:sz w:val="28"/>
                <w:szCs w:val="28"/>
                <w:u w:val="single" w:color="0432ff"/>
                <w:lang w:val="en-US"/>
              </w:rPr>
              <w:instrText xml:space="preserve"> HYPERLINK "http://avar-tea.ru"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432ff"/>
                <w:sz w:val="28"/>
                <w:szCs w:val="28"/>
                <w:u w:val="single" w:color="0432ff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432ff"/>
                <w:sz w:val="28"/>
                <w:szCs w:val="28"/>
                <w:u w:val="single" w:color="0432ff"/>
                <w:rtl w:val="0"/>
                <w:lang w:val="en-US"/>
              </w:rPr>
              <w:t>avar-tea.ru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64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Наименование банка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Московский Филиал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АО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РОСБАНК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Расчетный счет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40702810897710000012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Корреспондентский счет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301018100000000002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556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БИК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0445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25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2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56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Ген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директор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Арутюнян А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.</w:t>
            </w:r>
          </w:p>
        </w:tc>
      </w:tr>
    </w:tbl>
    <w:p>
      <w:pPr>
        <w:pStyle w:val="По умолчанию"/>
        <w:widowControl w:val="0"/>
        <w:spacing w:after="240"/>
        <w:ind w:left="324" w:hanging="324"/>
      </w:pPr>
      <w:r>
        <w:rPr>
          <w:rStyle w:val="Нет"/>
          <w:rFonts w:ascii="Times" w:cs="Times" w:hAnsi="Times" w:eastAsia="Times"/>
          <w:sz w:val="32"/>
          <w:szCs w:val="32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8"/>
      <w:szCs w:val="28"/>
      <w:u w:val="single"/>
      <w:lang w:val="en-US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432ff"/>
      <w:sz w:val="28"/>
      <w:szCs w:val="28"/>
      <w:u w:val="single" w:color="0432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